
<file path=[Content_Types].xml><?xml version="1.0" encoding="utf-8"?>
<Types xmlns="http://schemas.openxmlformats.org/package/2006/content-types">
  <Override PartName="/word/media/image1.wmf" ContentType="image/x-wmf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jc w:val="center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  <w:drawing>
          <wp:inline distB="0" distL="0" distR="0" distT="0">
            <wp:extent cx="1614170" cy="150241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jc w:val="center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44"/>
          <w:i/>
          <w:szCs w:val="44"/>
          <w:iCs/>
          <w:rFonts w:ascii="Monotype Corsiva" w:cs="Monotype Corsiva" w:eastAsia="Batang" w:hAnsi="Monotype Corsiva"/>
        </w:rPr>
        <w:t>UNIVERSIDAD DE BUENOS AIRES</w:t>
      </w:r>
    </w:p>
    <w:p>
      <w:pPr>
        <w:pStyle w:val="style0"/>
        <w:jc w:val="center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44"/>
          <w:i/>
          <w:szCs w:val="44"/>
          <w:iCs/>
          <w:rFonts w:ascii="Monotype Corsiva" w:cs="Monotype Corsiva" w:eastAsia="Batang" w:hAnsi="Monotype Corsiva"/>
        </w:rPr>
        <w:t>FACULTAD DE FILOSOFIA Y LETRAS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DEPARTAMENTO: CIENCIAS DE LA EDUCACIÓN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ASIGNATURA: Administración y Supervisión de Instituciones Educativas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PROFESOR:  Alberto Iardelevsky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CUATRIMESTRE: Primero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AÑO: 2013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PROGRAMA Nº:0181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UNIVERSIDAD DE BUENOS AIRES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Facultad de Filosofía y Letras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Carrera de Ciencias de la Educación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Materia: Administración y Supervisión de Instituciones Educativas – Ciclo de Formación Focalizada en Administración y Planeamiento – PD.</w:t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Primer cuatrimestre de 2013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i/>
          <w:iCs/>
          <w:rFonts w:ascii="Arial" w:cs="Arial" w:hAnsi="Arial"/>
        </w:rPr>
        <w:t>Docentes a cargo de la materia (miembros de la cátedra Administración de la educación):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Profesor Adjunto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Alberto M. Iardelevsky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Jefe de Trabajos Prácticos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Victoria Orce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Auxiliar de Trabajos Prácticos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Noemí Korín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numPr>
          <w:ilvl w:val="0"/>
          <w:numId w:val="4"/>
        </w:numPr>
        <w:jc w:val="both"/>
        <w:spacing w:after="120" w:before="0"/>
      </w:pPr>
      <w:r>
        <w:rPr>
          <w:rFonts w:ascii="Arial" w:cs="Arial" w:hAnsi="Arial"/>
        </w:rPr>
        <w:t>INTRODUCCIÓN</w:t>
      </w:r>
    </w:p>
    <w:p>
      <w:pPr>
        <w:pStyle w:val="style0"/>
        <w:jc w:val="both"/>
        <w:ind w:hanging="0" w:left="360" w:right="0"/>
        <w:spacing w:after="120" w:before="0"/>
      </w:pPr>
      <w:r>
        <w:rPr/>
      </w:r>
    </w:p>
    <w:p>
      <w:pPr>
        <w:pStyle w:val="style52"/>
        <w:jc w:val="both"/>
        <w:spacing w:after="120" w:before="0"/>
      </w:pPr>
      <w:r>
        <w:rPr>
          <w:sz w:val="24"/>
          <w:szCs w:val="24"/>
          <w:rFonts w:ascii="Arial" w:cs="Arial" w:hAnsi="Arial"/>
        </w:rPr>
        <w:t xml:space="preserve">La materia </w:t>
      </w:r>
      <w:r>
        <w:rPr>
          <w:sz w:val="24"/>
          <w:i/>
          <w:szCs w:val="24"/>
          <w:iCs/>
          <w:rFonts w:ascii="Arial" w:cs="Arial" w:hAnsi="Arial"/>
        </w:rPr>
        <w:t>Administración y supervisión de instituciones educativas</w:t>
      </w:r>
      <w:r>
        <w:rPr>
          <w:sz w:val="24"/>
          <w:szCs w:val="24"/>
          <w:rFonts w:ascii="Arial" w:cs="Arial" w:hAnsi="Arial"/>
        </w:rPr>
        <w:t xml:space="preserve"> integra el plan de estudios de la carrera de ciencias de la educación como materia obligatoria del ciclo de formación focalizado en Administración y Planeamiento, junto con la materia </w:t>
      </w:r>
      <w:r>
        <w:rPr>
          <w:sz w:val="24"/>
          <w:i/>
          <w:szCs w:val="24"/>
          <w:iCs/>
          <w:rFonts w:ascii="Arial" w:cs="Arial" w:hAnsi="Arial"/>
        </w:rPr>
        <w:t>Planeamiento Educacional</w:t>
      </w:r>
      <w:r>
        <w:rPr>
          <w:sz w:val="24"/>
          <w:szCs w:val="24"/>
          <w:rFonts w:ascii="Arial" w:cs="Arial" w:hAnsi="Arial"/>
        </w:rPr>
        <w:t>. Esta inscripción curricular define el perfil de los estudiantes, que están finalizando la carrera y optando por un focalizado profesional, lo cual plantea el desafío de brindar una formación específica que contemple al</w:t>
      </w:r>
      <w:r>
        <w:rPr>
          <w:sz w:val="24"/>
          <w:b/>
          <w:szCs w:val="24"/>
          <w:bCs/>
          <w:rFonts w:ascii="Arial" w:cs="Arial" w:hAnsi="Arial"/>
        </w:rPr>
        <w:t xml:space="preserve"> </w:t>
      </w:r>
      <w:r>
        <w:rPr>
          <w:sz w:val="24"/>
          <w:szCs w:val="24"/>
          <w:rFonts w:ascii="Arial" w:cs="Arial" w:hAnsi="Arial"/>
        </w:rPr>
        <w:t>sistema educativo y a las instituciones educativas como</w:t>
      </w:r>
      <w:r>
        <w:rPr>
          <w:sz w:val="24"/>
          <w:i/>
          <w:szCs w:val="24"/>
          <w:iCs/>
          <w:rFonts w:ascii="Arial" w:cs="Arial" w:hAnsi="Arial"/>
        </w:rPr>
        <w:t xml:space="preserve"> </w:t>
      </w:r>
      <w:r>
        <w:rPr>
          <w:sz w:val="24"/>
          <w:szCs w:val="24"/>
          <w:rFonts w:ascii="Arial" w:cs="Arial" w:hAnsi="Arial"/>
        </w:rPr>
        <w:t xml:space="preserve">objetos de estudio y como campos de inserción e intervención profesional de los futuros licenciados y licenciadas en Ciencias de la Educación. </w:t>
      </w:r>
    </w:p>
    <w:p>
      <w:pPr>
        <w:pStyle w:val="style52"/>
        <w:jc w:val="both"/>
      </w:pPr>
      <w:r>
        <w:rPr>
          <w:sz w:val="24"/>
          <w:szCs w:val="24"/>
          <w:rFonts w:ascii="Arial" w:cs="Arial" w:hAnsi="Arial"/>
        </w:rPr>
        <w:t>En continuidad con la perspectiva de trabajo desarrollada en la materia Administración de la Educación, del ciclo de formación general, esta propuesta pedagógica se organiza desde dos perspectivas: una que toma el escenario de la administración y supervisión educativa como espacio situado de práctica profesional específica en el campo educativo, con su carácter histórico, y otra que se presenta como espacio académico específico cuyo aporte reflexivo favorece la comprensión crítica de ese escenario para los futuros graduados de la carrera.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numPr>
          <w:ilvl w:val="0"/>
          <w:numId w:val="4"/>
        </w:numPr>
        <w:jc w:val="both"/>
        <w:spacing w:after="120" w:before="0"/>
      </w:pPr>
      <w:r>
        <w:rPr>
          <w:rFonts w:ascii="Arial" w:cs="Arial" w:hAnsi="Arial"/>
        </w:rPr>
        <w:t>OBJETIVOS</w:t>
      </w:r>
    </w:p>
    <w:p>
      <w:pPr>
        <w:pStyle w:val="style0"/>
        <w:jc w:val="both"/>
        <w:ind w:hanging="0" w:left="360" w:right="0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Durante el desarrollo de la materia, se proponen los siguientes objetivos generales: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numPr>
          <w:ilvl w:val="0"/>
          <w:numId w:val="3"/>
        </w:numPr>
        <w:jc w:val="both"/>
        <w:spacing w:after="120" w:before="0"/>
      </w:pPr>
      <w:r>
        <w:rPr>
          <w:rFonts w:ascii="Arial" w:cs="Arial" w:hAnsi="Arial"/>
        </w:rPr>
        <w:t>Posibilitar la comprensión de la gestión y supervisión de las instituciones educativas, articulada en un proceso de gobierno del sistema educativo público con características democráticas y transformadoras;</w:t>
      </w:r>
    </w:p>
    <w:p>
      <w:pPr>
        <w:pStyle w:val="style0"/>
        <w:numPr>
          <w:ilvl w:val="0"/>
          <w:numId w:val="3"/>
        </w:numPr>
        <w:jc w:val="both"/>
        <w:spacing w:after="120" w:before="0"/>
      </w:pPr>
      <w:r>
        <w:rPr>
          <w:rFonts w:ascii="Arial" w:cs="Arial" w:hAnsi="Arial"/>
        </w:rPr>
        <w:t>Desarrollar un marco teórico y metodológico básico de la gestión administrativa e institucional a nivel de unidades educativas y redes escolares locales, en relación con el Estado, la administración pública y las características del contexto socioeconómico en el espacio territorial en el que se asientan;</w:t>
      </w:r>
    </w:p>
    <w:p>
      <w:pPr>
        <w:pStyle w:val="style0"/>
        <w:numPr>
          <w:ilvl w:val="0"/>
          <w:numId w:val="3"/>
        </w:numPr>
        <w:jc w:val="both"/>
        <w:spacing w:after="120" w:before="0"/>
      </w:pPr>
      <w:r>
        <w:rPr>
          <w:rFonts w:ascii="Arial" w:cs="Arial" w:hAnsi="Arial"/>
        </w:rPr>
        <w:t>Desarrollar estrategias de observación y análisis para la comprensión de los modelos de gestión de instituciones educativas en diferentes tipos de formaciones desde la perspectiva de los supervisores, los directores y los docentes;</w:t>
      </w:r>
    </w:p>
    <w:p>
      <w:pPr>
        <w:pStyle w:val="style0"/>
        <w:numPr>
          <w:ilvl w:val="0"/>
          <w:numId w:val="3"/>
        </w:numPr>
        <w:jc w:val="both"/>
        <w:spacing w:after="120" w:before="0"/>
      </w:pPr>
      <w:r>
        <w:rPr>
          <w:rFonts w:ascii="Arial" w:cs="Arial" w:hAnsi="Arial"/>
        </w:rPr>
        <w:t>Ofrecer al futuro graduado, elementos conceptuales y metodológicos válidos, tanto para su desempeño como especialista en educación para las funciones de conducción y asesoramiento de instituciones educativas y de planificación y ejecución de programas y proyectos vinculados con ellas.</w:t>
      </w:r>
    </w:p>
    <w:p>
      <w:pPr>
        <w:pStyle w:val="style0"/>
        <w:jc w:val="both"/>
        <w:ind w:hanging="0" w:left="360" w:right="0"/>
        <w:spacing w:after="120" w:before="0"/>
      </w:pPr>
      <w:r>
        <w:rPr/>
      </w:r>
    </w:p>
    <w:p>
      <w:pPr>
        <w:pStyle w:val="style0"/>
        <w:numPr>
          <w:ilvl w:val="0"/>
          <w:numId w:val="4"/>
        </w:numPr>
        <w:jc w:val="both"/>
        <w:spacing w:after="120" w:before="0"/>
      </w:pPr>
      <w:r>
        <w:rPr>
          <w:rFonts w:ascii="Arial" w:cs="Arial" w:hAnsi="Arial"/>
        </w:rPr>
        <w:t>UNIDADES TEMÁTICAS Y BIBLIOGRAFÍA BÁSICA</w:t>
      </w:r>
      <w:r>
        <w:rPr>
          <w:u w:val="single"/>
          <w:rFonts w:ascii="Arial" w:cs="Arial" w:hAnsi="Arial"/>
        </w:rPr>
        <w:t xml:space="preserve"> </w:t>
      </w:r>
    </w:p>
    <w:p>
      <w:pPr>
        <w:pStyle w:val="style0"/>
        <w:jc w:val="both"/>
        <w:ind w:hanging="0" w:left="360" w:right="0"/>
        <w:spacing w:after="120" w:before="0"/>
      </w:pPr>
      <w:r>
        <w:rPr>
          <w:sz w:val="20"/>
          <w:szCs w:val="20"/>
          <w:rFonts w:ascii="Arial" w:cs="Arial" w:hAnsi="Arial"/>
        </w:rPr>
        <w:t>(Durante el desarrollo de las clases se indicará la bibliografía de lectura obligatoria y complementaria)</w:t>
      </w:r>
    </w:p>
    <w:p>
      <w:pPr>
        <w:pStyle w:val="style0"/>
        <w:jc w:val="both"/>
        <w:ind w:hanging="0" w:left="360" w:right="0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u w:val="single"/>
          <w:b/>
          <w:bCs/>
          <w:rFonts w:ascii="Arial" w:cs="Arial" w:hAnsi="Arial"/>
        </w:rPr>
        <w:t>Unidad 1</w:t>
      </w:r>
      <w:r>
        <w:rPr>
          <w:b/>
          <w:bCs/>
          <w:rFonts w:ascii="Arial" w:cs="Arial" w:hAnsi="Arial"/>
        </w:rPr>
        <w:t>. La gestión institucional como objeto de estudio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Perspectivas teóricas de la gestión en el nivel de las instituciones educativas. La gestión escolar como objeto de análisis e intervención. Las perspectivas de estudio: teoría organizacional y micropolítica. Conceptualizaciones sobre la gestión institucional, administrativa y pedagógica. Las perspectivas basadas en la gobernabilidad de los sistemas educativos.</w:t>
      </w:r>
    </w:p>
    <w:p>
      <w:pPr>
        <w:pStyle w:val="style0"/>
        <w:jc w:val="both"/>
        <w:spacing w:after="120" w:before="120"/>
      </w:pPr>
      <w:r>
        <w:rPr/>
      </w:r>
    </w:p>
    <w:p>
      <w:pPr>
        <w:pStyle w:val="style0"/>
        <w:jc w:val="both"/>
        <w:spacing w:after="120" w:before="120"/>
      </w:pPr>
      <w:r>
        <w:rPr>
          <w:b/>
          <w:bCs/>
          <w:rFonts w:ascii="Arial" w:cs="Arial" w:hAnsi="Arial"/>
        </w:rPr>
        <w:t>Bibliografía</w:t>
      </w:r>
    </w:p>
    <w:p>
      <w:pPr>
        <w:pStyle w:val="style0"/>
        <w:jc w:val="both"/>
        <w:spacing w:after="120" w:before="120"/>
      </w:pPr>
      <w:r>
        <w:rPr/>
      </w:r>
    </w:p>
    <w:p>
      <w:pPr>
        <w:pStyle w:val="style0"/>
        <w:jc w:val="both"/>
        <w:spacing w:after="120" w:before="120"/>
      </w:pPr>
      <w:r>
        <w:rPr>
          <w:rFonts w:ascii="Arial" w:cs="Arial" w:hAnsi="Arial"/>
        </w:rPr>
        <w:t xml:space="preserve">ALVARIÑO, C. </w:t>
      </w:r>
      <w:r>
        <w:rPr>
          <w:i/>
          <w:iCs/>
          <w:rFonts w:ascii="Arial" w:cs="Arial" w:hAnsi="Arial"/>
        </w:rPr>
        <w:t xml:space="preserve">et al </w:t>
      </w:r>
      <w:r>
        <w:rPr>
          <w:rFonts w:ascii="Arial" w:cs="Arial" w:hAnsi="Arial"/>
        </w:rPr>
        <w:t xml:space="preserve">(2000). “Gestión escolar: un estado del arte de la literatura”. En  Revista Paideia, 29,pp.15-43. </w:t>
      </w:r>
    </w:p>
    <w:p>
      <w:pPr>
        <w:pStyle w:val="style0"/>
        <w:jc w:val="both"/>
        <w:spacing w:after="120" w:before="120"/>
      </w:pPr>
      <w:r>
        <w:rPr/>
        <w:t xml:space="preserve">En </w:t>
      </w:r>
      <w:hyperlink r:id="rId3">
        <w:r>
          <w:rPr>
            <w:rStyle w:val="style23"/>
            <w:rFonts w:ascii="Arial" w:cs="Arial" w:hAnsi="Arial"/>
          </w:rPr>
          <w:t>http://www.campus-oei.org/administracion/saladelectura.htm</w:t>
        </w:r>
      </w:hyperlink>
    </w:p>
    <w:p>
      <w:pPr>
        <w:pStyle w:val="style0"/>
        <w:jc w:val="both"/>
      </w:pPr>
      <w:r>
        <w:rPr>
          <w:rFonts w:ascii="Arial" w:cs="Arial" w:hAnsi="Arial"/>
        </w:rPr>
        <w:t>BARDISA RUIZ, T. (1997) "Teoría y práctica de la micropolítica en las organizaciones escolares", en Revista Iberoamericana de Educación, Nº 15,  Septiembre - Diciembre 1997.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En </w:t>
      </w:r>
      <w:hyperlink r:id="rId4">
        <w:r>
          <w:rPr>
            <w:rStyle w:val="style23"/>
            <w:rFonts w:ascii="Arial" w:cs="Arial" w:hAnsi="Arial"/>
          </w:rPr>
          <w:t>http://www.campus-oei.org/administracion/saladelectura.htm</w:t>
        </w:r>
      </w:hyperlink>
    </w:p>
    <w:p>
      <w:pPr>
        <w:pStyle w:val="style0"/>
        <w:jc w:val="both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FERNÁNDEZ ENGUITA, M. “Organización Escolar y Modelo Profesional” en FERNÁNDEZ ENGUITA, M. y GUTIÉRREZ SASTRE, M. (coords.) (2005) “Organización escolar, profesión docente y entorno comunitario” Universidad Internacional de Andalucía/Akal Madrid.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SANTOS GUERRA, Miguel A. (1996) “Investigar en organización o el arte de cambiar a través del conocimiento”. En DOMÍNGUEZ FERNÁNDEZ, G, y otros. Manual de organización de instituciones educativas. Editorial Escuela Española, Madrid.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 ampliatoria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BALL, S. (1989) </w:t>
      </w:r>
      <w:r>
        <w:rPr>
          <w:i/>
          <w:iCs/>
          <w:rFonts w:ascii="Arial" w:cs="Arial" w:hAnsi="Arial"/>
        </w:rPr>
        <w:t>La micropolítica de la escuela. Hacia una teoría de la organización escolar,</w:t>
      </w:r>
      <w:r>
        <w:rPr>
          <w:rFonts w:ascii="Arial" w:cs="Arial" w:hAnsi="Arial"/>
        </w:rPr>
        <w:t xml:space="preserve"> Paidós, Barcelona. Capítulo 1.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120" w:line="360" w:lineRule="atLeast"/>
      </w:pPr>
      <w:r>
        <w:rPr>
          <w:u w:val="single"/>
          <w:b/>
          <w:bCs/>
          <w:rFonts w:ascii="Arial" w:cs="Arial" w:hAnsi="Arial"/>
        </w:rPr>
        <w:t>Unidad 2</w:t>
      </w:r>
      <w:r>
        <w:rPr>
          <w:b/>
          <w:bCs/>
          <w:rFonts w:ascii="Arial" w:cs="Arial" w:hAnsi="Arial"/>
        </w:rPr>
        <w:t>. Las instituciones educativas y el sistema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Niveles de gestión: nacional, jurisdiccional, local. El nivel institucional y su articulación en el sistema educativo. Regulación y autonomía. El modelo de gestión basado en la escuela y su problematización desde la perspectiva de las necesidades educativas sociales. La educación pública y lo público en educación.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BOLIVAR, A. (2009) “La autonomía en la gestión como nuevo modo de regulación” en </w:t>
      </w:r>
      <w:r>
        <w:rPr>
          <w:i/>
          <w:iCs/>
          <w:rFonts w:ascii="Arial" w:cs="Arial" w:hAnsi="Arial"/>
        </w:rPr>
        <w:t>Espacios en blanco. Revista de Educación.</w:t>
      </w:r>
      <w:r>
        <w:rPr>
          <w:rFonts w:ascii="Arial" w:cs="Arial" w:hAnsi="Arial"/>
        </w:rPr>
        <w:t xml:space="preserve"> N°19. NEES-UNCPBA- Tandil, Argentina. ISSN 1515-9485.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FURLAN, A. (2009) “Recapitulaciones en torno a la noción de Gestión” en </w:t>
      </w:r>
      <w:r>
        <w:rPr>
          <w:i/>
          <w:iCs/>
          <w:rFonts w:ascii="Arial" w:cs="Arial" w:hAnsi="Arial"/>
        </w:rPr>
        <w:t>Espacios en blanco. Revista de Educación.</w:t>
      </w:r>
      <w:r>
        <w:rPr>
          <w:rFonts w:ascii="Arial" w:cs="Arial" w:hAnsi="Arial"/>
        </w:rPr>
        <w:t xml:space="preserve"> N°19. NEES-UNCPBA- Tandil, Argentina. ISSN 1515-9485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GOROSTIAGA, J.; PINI, M. (2004) Nuevos modelos de gobierno escolar: entre lo local y lo global.  Universidad Nacional de San Martín. Ponencia presentada en las XIII Jornadas Argentinas de Historia de la Educación, Buenos Aires, noviembre 2004.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 ampliatoria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Bolívar, A. (1999). La educación no es un mercado. Crítica de la “Gestión de Calidad Total”. En Aula de innovación educativa, 83-84, pp. 77-82.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  <w:lang w:val="es-AR"/>
        </w:rPr>
        <w:t>BERNAL AGUDO, J.L. (s/f) Entrevista a Stephen Ball. Consultado en: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  <w:lang w:val="es-AR"/>
        </w:rPr>
        <w:t xml:space="preserve"> </w:t>
      </w:r>
      <w:hyperlink r:id="rId5">
        <w:r>
          <w:rPr>
            <w:rStyle w:val="style23"/>
            <w:rFonts w:ascii="Arial" w:cs="Arial" w:hAnsi="Arial"/>
            <w:lang w:val="es-AR"/>
          </w:rPr>
          <w:t>http://didac.unizar.es/jlbernal/articulos_propios/index.html</w:t>
        </w:r>
      </w:hyperlink>
      <w:r>
        <w:rPr>
          <w:rFonts w:ascii="Arial" w:cs="Arial" w:hAnsi="Arial"/>
          <w:lang w:val="es-AR"/>
        </w:rPr>
        <w:t xml:space="preserve"> 17 de marzo de 2012.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  <w:lang w:val="es-AR"/>
        </w:rPr>
        <w:t>Entrevista: “Stephen Ball: El sentido de las reformas educativas” (2008), realizada en la Universidad de Santiago de Compostela, España. Consultado en:</w:t>
      </w:r>
    </w:p>
    <w:p>
      <w:pPr>
        <w:pStyle w:val="style0"/>
        <w:jc w:val="both"/>
        <w:spacing w:after="120" w:before="0"/>
      </w:pPr>
      <w:hyperlink r:id="rId6">
        <w:r>
          <w:rPr>
            <w:rStyle w:val="style23"/>
            <w:rFonts w:ascii="Arial" w:cs="Arial" w:hAnsi="Arial"/>
            <w:lang w:val="es-AR"/>
          </w:rPr>
          <w:t>http://firgoa.usc.es/drupal/node/38483</w:t>
        </w:r>
      </w:hyperlink>
      <w:r>
        <w:rPr>
          <w:rFonts w:ascii="Arial" w:cs="Arial" w:hAnsi="Arial"/>
          <w:lang w:val="es-AR"/>
        </w:rPr>
        <w:t xml:space="preserve"> 17 de marzo de 2012.</w:t>
      </w:r>
    </w:p>
    <w:p>
      <w:pPr>
        <w:pStyle w:val="style0"/>
        <w:jc w:val="both"/>
        <w:spacing w:after="120" w:before="120" w:line="360" w:lineRule="atLeast"/>
      </w:pPr>
      <w:r>
        <w:rPr/>
      </w:r>
    </w:p>
    <w:p>
      <w:pPr>
        <w:pStyle w:val="style0"/>
        <w:jc w:val="both"/>
        <w:spacing w:after="120" w:before="120" w:line="360" w:lineRule="atLeast"/>
      </w:pPr>
      <w:r>
        <w:rPr>
          <w:u w:val="single"/>
          <w:b/>
          <w:bCs/>
          <w:rFonts w:ascii="Arial" w:cs="Arial" w:hAnsi="Arial"/>
        </w:rPr>
        <w:t>Unidad 3.</w:t>
      </w:r>
      <w:r>
        <w:rPr>
          <w:b/>
          <w:bCs/>
          <w:rFonts w:ascii="Arial" w:cs="Arial" w:hAnsi="Arial"/>
        </w:rPr>
        <w:t xml:space="preserve"> La función directiva y el asesoramiento pedagógico e institucional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La conducción en las instituciones educativas. Su problemática desde las perspectivas de la autonomía de gestión, la participación de los distintos actores en la gestión educativa y el desarrollo de la profesionalidad. La gestión directiva en el diseño, implementación y evaluación de proyectos y acuerdos escolares. El asesoramiento pedagógico e institucional: funciones y tareas. Los docentes como actores de la gestión educativa: discusiones acerca de la profesionalización de docencia y la autonomía profesional.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JABIF, L. (2010) Conducir escuelas en el Programa Todos Pueden Aprender - Fortalecimiento del rol de los equipos directivos. CECC-UNICEF. Costa Rica.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</w:pPr>
      <w:r>
        <w:rPr>
          <w:rFonts w:ascii="Arial" w:cs="Arial" w:hAnsi="Arial"/>
        </w:rPr>
        <w:t>IARDELEVSKY, A. (2011) El asesoramiento didáctico, componente del apoyo a la enseñanza. Seminario Bianual de apoyo a los proyectos provinciales de desarrollo profesional docente centrado en la escuela. Buenos Aires.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2"/>
          <w:szCs w:val="22"/>
          <w:rFonts w:ascii="AISwanLight" w:cs="AISwanLight" w:hAnsi="AISwanLight"/>
        </w:rPr>
        <w:t xml:space="preserve">IARDELEVSKY, A. (2011) Red de apoyo pedagógico a las escuelas para la mejora continua. </w:t>
      </w:r>
      <w:r>
        <w:rPr>
          <w:rFonts w:ascii="Arial" w:cs="Arial" w:hAnsi="Arial"/>
        </w:rPr>
        <w:t>Seminario Bianual de apoyo a los proyectos provinciales de desarrollo profesional docente centrado en la escuela. Buenos Aires.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</w:rPr>
        <w:t xml:space="preserve">LOPEZ YAÑEZ, J. (2008) Construir la relación de asesoramiento. Un enfoque institucional basado en la comunicación; en Revista del Currículum y Formación del profesorado. Volumen 12 Nº 1. Universidad de Granada. España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TORRES SANTOMÉ, Jurjo (2006) La desmotivación del profesorado. Ed. Morata. Madrid- Capitulo 1.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 ampliatoria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120"/>
      </w:pPr>
      <w:r>
        <w:rPr>
          <w:rFonts w:ascii="Arial" w:cs="Arial" w:hAnsi="Arial"/>
        </w:rPr>
        <w:t>AA.VV. (2007)  “El arte de dirigir. Conversaciones con directores”. Publicación de la Escuela de Capacitación (CePa), Secretaría de Educación, Gobierno de la Ciudad de Buenos Aires.</w:t>
      </w:r>
    </w:p>
    <w:p>
      <w:pPr>
        <w:pStyle w:val="style0"/>
        <w:jc w:val="both"/>
        <w:spacing w:after="120" w:before="12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BRENER, Gabriel (2007) Testimonio para pasar la posta. Cepa, Gob Bas As.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GUERRERO SERÓN, A. “La Organización Escolar y sus efectos. Reorganizar la escuela para mejorar sus resultados en  </w:t>
      </w:r>
      <w:bookmarkStart w:id="0" w:name="OLE_LINK1"/>
      <w:bookmarkStart w:id="1" w:name="OLE_LINK2"/>
      <w:bookmarkEnd w:id="0"/>
      <w:bookmarkEnd w:id="1"/>
      <w:r>
        <w:rPr>
          <w:rFonts w:ascii="Arial" w:cs="Arial" w:hAnsi="Arial"/>
        </w:rPr>
        <w:t xml:space="preserve">FERNÁNDEZ ENGUITA, M. y GUTIÉRREZ SASTRE, M. (coords.) (2005) Op. Cit.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u w:val="single"/>
          <w:b/>
          <w:bCs/>
          <w:rFonts w:ascii="Arial" w:cs="Arial" w:hAnsi="Arial"/>
        </w:rPr>
        <w:t>Unidad 4</w:t>
      </w:r>
      <w:r>
        <w:rPr>
          <w:b/>
          <w:bCs/>
          <w:rFonts w:ascii="Arial" w:cs="Arial" w:hAnsi="Arial"/>
        </w:rPr>
        <w:t xml:space="preserve">. La supervisión.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120"/>
      </w:pPr>
      <w:r>
        <w:rPr>
          <w:rFonts w:ascii="Arial" w:cs="Arial" w:hAnsi="Arial"/>
        </w:rPr>
        <w:t>La supervisión al interior de las instituciones y como función articuladora entre los distintos niveles de gestión del sistema. Asistencia técnica, mediación, control y evaluación. Modelos de organización y estrategias de intervención. Experiencias y propuestas de instituciones educativas en la formación de perfiles profesionales diferenciados. Tensiones entre el profesorado y la supervisión educativa.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Terigi, F. (2010) Los sistemas nacionales de inspección y/o supervisión escolar. Revisión de la literatura y análisis de casos. IIPE-UNESCO, Buenos Aires, Argentina. Introducción, Capítulo 1 y Capítulo 2. </w:t>
      </w:r>
      <w:hyperlink r:id="rId7">
        <w:r>
          <w:rPr>
            <w:rStyle w:val="style23"/>
            <w:rFonts w:ascii="Arial" w:cs="Arial" w:hAnsi="Arial"/>
          </w:rPr>
          <w:t>http://www.iipe-buenosaires.org.ar</w:t>
        </w:r>
      </w:hyperlink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García Cabrero, B y Zendejas Frutos, L. (2008) Hacia un nuevo modelo de supervisión escolar para las primarias mexicanas, Instituto nacional para la evaluación de la educación, México. Capítulos 1 y 6</w:t>
      </w:r>
      <w:r>
        <w:rPr>
          <w:color w:val="3366FF"/>
          <w:rFonts w:ascii="Arial" w:cs="Arial" w:hAnsi="Arial"/>
        </w:rPr>
        <w:t>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Vercellino, S y Enrico, L. (2006) “De las políticas públicas a las prácticas educativas: la incidencia de la práctica del supervisor escolar”, en </w:t>
      </w:r>
      <w:r>
        <w:rPr>
          <w:i/>
          <w:iCs/>
          <w:rFonts w:ascii="Arial" w:cs="Arial" w:hAnsi="Arial"/>
        </w:rPr>
        <w:t>Revista Complutense de Educación</w:t>
      </w:r>
      <w:r>
        <w:rPr>
          <w:rFonts w:ascii="Arial" w:cs="Arial" w:hAnsi="Arial"/>
        </w:rPr>
        <w:t>, Vol.17, n° 2, ISSN 1130-2496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Protocolos de asesoramiento. 2011 Seminario Bianual de apoyo a los proyectos provinciales de desarrollo profesional docente centrado en la escuela. Buenos Aires. </w:t>
      </w:r>
      <w:r>
        <w:rPr>
          <w:i/>
          <w:iCs/>
          <w:rFonts w:ascii="Arial" w:cs="Arial" w:hAnsi="Arial"/>
        </w:rPr>
        <w:t>Instrumentos 6-8-9-12 y los de observación de cuadernos de Lengua y Matemática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 ampliatoria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DUSSEL, I. (1995) “Pedagogía y burocracia. Notas sobre la historia de los inspectores” en Revista Argentina de Educación, Año XIII, Nº 23.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García Cabrero, B y Zendejas Frutos, L. (2008) Hacia un nuevo modelo de supervisión escolar para las primarias mexicanas, Instituto nacional para la evaluación de la educación, México. Capítulo 5.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PUIGGRÓS, A. (2007) “Carta a los inspectores de la provincia de Buenos Aires” en Puiggrós, A. y col. </w:t>
      </w:r>
      <w:r>
        <w:rPr>
          <w:i/>
          <w:iCs/>
          <w:rFonts w:ascii="Arial" w:cs="Arial" w:hAnsi="Arial"/>
        </w:rPr>
        <w:t>Cartas a los educadores del siglo XXI</w:t>
      </w:r>
      <w:r>
        <w:rPr>
          <w:rFonts w:ascii="Arial" w:cs="Arial" w:hAnsi="Arial"/>
        </w:rPr>
        <w:t>. Galerna, Buenos Aires.</w:t>
      </w:r>
    </w:p>
    <w:p>
      <w:pPr>
        <w:pStyle w:val="style0"/>
        <w:jc w:val="both"/>
        <w:spacing w:after="120" w:before="120" w:line="360" w:lineRule="atLeast"/>
      </w:pPr>
      <w:r>
        <w:rPr/>
      </w:r>
    </w:p>
    <w:p>
      <w:pPr>
        <w:pStyle w:val="style0"/>
        <w:jc w:val="both"/>
        <w:spacing w:after="120" w:before="120" w:line="360" w:lineRule="atLeast"/>
      </w:pPr>
      <w:r>
        <w:rPr>
          <w:u w:val="single"/>
          <w:b/>
          <w:bCs/>
          <w:rFonts w:ascii="Arial" w:cs="Arial" w:hAnsi="Arial"/>
        </w:rPr>
        <w:t>Unidad 5</w:t>
      </w:r>
      <w:r>
        <w:rPr>
          <w:b/>
          <w:bCs/>
          <w:rFonts w:ascii="Arial" w:cs="Arial" w:hAnsi="Arial"/>
        </w:rPr>
        <w:t xml:space="preserve">. La gestión del curriculum  y la evaluación 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El campo del currículum en la gestión escolar. Perspectivas desde la enseñanza, la dirección y la supervisión. El proyecto curricular. El desarrollo curricular: Implementación de reformas curriculares, procesos de innovación en el aula y la gestión directiva. El supervisor, los materiales curriculares y los procesos de evaluación curricular. La evaluación de aprendizajes y la evaluación institucional de escuelas. Experiencias.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Hillert, Flora (2011) “Las políticas curriculares de los 90: de la teoría social a la clave pedagógica”, en Hillert, F. </w:t>
      </w:r>
      <w:r>
        <w:rPr>
          <w:i/>
          <w:iCs/>
          <w:rFonts w:ascii="Arial" w:cs="Arial" w:hAnsi="Arial"/>
        </w:rPr>
        <w:t>Políticas curriculares. Sujetos sociales y conocimiento escolar en los vaivenes de lo público y lo privado</w:t>
      </w:r>
      <w:r>
        <w:rPr>
          <w:rFonts w:ascii="Arial" w:cs="Arial" w:hAnsi="Arial"/>
        </w:rPr>
        <w:t>, Colihue, Buenos Aires.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CARR, W. (1996) “Curriculum: principios comprensivos e ideales democráticos”. En CARR, W. y otros. Comprensividad, Desarrollo Productivo y Justicia Social. Barcelona, Icaria.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IARDELEVSKY, A.(2006) “Legados, experiencias y aprendizajes.” En Anales de la Educación Común. Número 4. Dirección General de Cultura y Educación de la Provincia de Buenos Aires. Buenos Aires.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IARDELEVSKY, A. (2012) “Capacitación y currículum: didáctica y gestión de la capacitación, modelos y operatividad. </w:t>
      </w:r>
      <w:r>
        <w:rPr>
          <w:rFonts w:ascii="Arial" w:cs="Arial" w:hAnsi="Arial"/>
          <w:lang w:val="pt-BR"/>
        </w:rPr>
        <w:t>En Reista Trajetoria Multicursos, Revista Eletrónica Multicursos da FACOS, Ano 3, Vol. Especial, Nº 7 Jul/2012. Rio Grande do Sul. Brasil.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GOODSON, Ivor, (2003) “Reforma curricular y teoría curricular: un caso de amnesia histórica” en </w:t>
      </w:r>
      <w:r>
        <w:rPr>
          <w:i/>
          <w:iCs/>
          <w:rFonts w:ascii="Arial" w:cs="Arial" w:hAnsi="Arial"/>
        </w:rPr>
        <w:t>Estudios del curriculum. Casos y métodos</w:t>
      </w:r>
      <w:r>
        <w:rPr>
          <w:rFonts w:ascii="Arial" w:cs="Arial" w:hAnsi="Arial"/>
        </w:rPr>
        <w:t>. Buenos Aires, Amorrortu,.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/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/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4- CRITERIOS DE EVALUACION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/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A fin de evaluar los distintos tipos de materiales que deberán producir los estudiantes durante el cursado de la materia (parciales y trabajo de campo) se tendrán en cuenta:</w:t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El tipo y el grado de complejidad de las relaciones conceptuales que se establezcan en el material a evaluar.</w:t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La inclusión de juicios críticos fundados acerca de los planteamientos conceptuales y de las situaciones a ser analizadas.</w:t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La vinculación explícita entre los aportes teóricos y conceptuales y los elementos concretos que surjan de la práctica.</w:t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El uso de los recursos de información básica: a) la diversidad y grado de integración de los materiales bibliográficos; b) la incorporación de información periodística, datos estadísticos, entrevistas, etc.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/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5- ALTERNATIVAS DE PROMOCION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Los estudiantes podrán optar por las siguientes modalidades de promoción: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Promoción Directa. (PD)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- Son requisitos para la aprobación del curso: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a) Haber asistido al 80% de las clases. La cátedra llevará un registro de asistencia que se archivará en el Departamento respectivo.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b) Haber aprobado las dos pruebas escritas que se exigen.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c) Haber obtenido promedio de aprobado en los interrogatorios y coloquios que el profesor haya llevado a cabo en clases u ocasiones especiales que fijará al efecto.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 xml:space="preserve">d) Haber aprobado los trabajos prácticos, monografías, informes, etc que haya fijado cada cátedra. 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e) El profesor a cargo del curso realizará durante el período de clases, además de los interrogatorios orales, dos comprobaciones escritas, las cuales, debidamente calificadas, se archivarán en el legajo del alumno.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 xml:space="preserve">f) Establecer que el promedio necesario para aprobar el curso en condiciones de promoción directa no deberá ser inferior a siete (7) puntos. 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g) En caso de que el promedio sea inferior a siete (7) puntos y con la asistencia de 75% los alumnos mantendrán su condición de regular.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 xml:space="preserve">a) Promoción sin examen final: requerirá aprobar dos exámenes parciales, uno de carácter presencial y el otro domiciliario y un trabajo de análisis en áreas de gestión, de una problemática educativa pertinente a los contenidos de la materia. Para la aprobación, se requerirá un puntaje no inferior a 7 (siete) de promedio en las producciones presentadas. Los alumnos deberán asistir al 80% de las clases teórico – prácticas. 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- Son requisitos para la aprobación del curso con examen final: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Para rendir el examen final en calidad de regular se requerirá haber aprobado los Trabajos Prácticos. Dicha aprobación exigirá tener una asistencia mínima al 75% de las clases prácticas y haber obtenido un promedio mínimo de 4 puntos (aprobado) en los exámenes parciales. A tal efecto, la inasistencia a cualquiera de los exámenes parciales será computada como 0 (cero). Quienes no hayan rendido en término un examen parcial por motivos justificados, podrán solicitar su recuperación dentro de los cinco días hábiles siguientes a la realización del mismo, mediante la presentación de una nota en el Departamento de Profesores que justifique la ausencia. La cátedra respectiva fijará el día y hora para la realización del parcial complementario el cual deberá tener lugar en un lapso de no más de doce (12) días.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>
          <w:rFonts w:ascii="Arial" w:cs="Arial" w:hAnsi="Arial"/>
        </w:rPr>
        <w:t>Los alumnos cuya nota promedio de exámenes parciales no alcance la calificación de aprobado (cuatro puntos), deberán volver a inscribirse en la asignatura o rendir examen de la misma en calidad de libres. Este examen constará de dos partes: una prueba escrita eliminatoria y otra oral. La prueba escrita versará sobre temas del programa teórico y/o práctico y los alumnos podrán disponer de hasta dos horas para su desarrollo. Quienes la aprueben rendirán el examen oral, en el que podrán ser interrogados sobre cualquier punto del programa aprobado y serán calificados con la nota única correspondiente a esta última prueba. Los que no rindan la prueba oral u obtengan en la misma menos de cuatro serán calificados con la nota de insuficiente.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/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uppressAutoHyphens w:val="true"/>
        <w:spacing w:after="120" w:before="0"/>
      </w:pPr>
      <w:r>
        <w:rPr/>
      </w:r>
    </w:p>
    <w:sectPr>
      <w:formProt w:val="off"/>
      <w:pgSz w:h="16838" w:w="11906"/>
      <w:textDirection w:val="lrTb"/>
      <w:pgNumType w:fmt="decimal"/>
      <w:type w:val="nextPage"/>
      <w:headerReference r:id="rId8" w:type="default"/>
      <w:footerReference r:id="rId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50"/>
    </w:pPr>
    <w:r>
      <w:rPr/>
    </w:r>
  </w:p>
  <w:p>
    <w:pPr>
      <w:pStyle w:val="style50"/>
      <w:ind w:hanging="0" w:left="0" w:right="360"/>
    </w:pPr>
    <w:r>
      <w:rPr/>
    </w:r>
  </w:p>
</w:ftr>
</file>

<file path=word/header1.xml><?xml version="1.0" encoding="utf-8"?>
<w:hdr xmlns:w="http://schemas.openxmlformats.org/wordprocessingml/2006/main">
  <w:p>
    <w:pPr>
      <w:pStyle w:val="style0"/>
      <w:jc w:val="both"/>
      <w:suppressAutoHyphens w:val="true"/>
      <w:spacing w:after="140" w:before="0" w:line="100" w:lineRule="exact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3">
    <w:lvl w:ilvl="0">
      <w:start w:val="1"/>
      <w:numFmt w:val="bullet"/>
      <w:lvlJc w:val="left"/>
      <w:lvlText w:val="-"/>
      <w:pPr>
        <w:ind w:hanging="360" w:left="720"/>
      </w:pPr>
      <w:rPr>
        <w:rFonts w:ascii="Arial" w:cs="Arial" w:hAnsi="Aria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</w:pPr>
    <w:rPr>
      <w:color w:val="00000A"/>
      <w:sz w:val="24"/>
      <w:szCs w:val="24"/>
      <w:rFonts w:ascii="Times New Roman" w:cs="Times New Roman" w:eastAsia="Times New Roman" w:hAnsi="Times New Roman"/>
      <w:lang w:bidi="ar-SA" w:eastAsia="es-ES" w:val="es-ES"/>
    </w:rPr>
  </w:style>
  <w:style w:styleId="style1" w:type="paragraph">
    <w:name w:val="Encabezado 1"/>
    <w:basedOn w:val="style0"/>
    <w:next w:val="style45"/>
    <w:pPr>
      <w:outlineLvl w:val="0"/>
      <w:numPr>
        <w:ilvl w:val="0"/>
        <w:numId w:val="1"/>
      </w:numPr>
      <w:jc w:val="both"/>
      <w:suppressAutoHyphens w:val="true"/>
      <w:keepNext/>
    </w:pPr>
    <w:rPr>
      <w:color w:val="800000"/>
      <w:sz w:val="28"/>
      <w:b/>
      <w:szCs w:val="28"/>
      <w:bCs/>
      <w:rFonts w:ascii="Verdana" w:cs="Verdana" w:hAnsi="Verdana"/>
    </w:rPr>
  </w:style>
  <w:style w:styleId="style2" w:type="paragraph">
    <w:name w:val="Encabezado 2"/>
    <w:basedOn w:val="style0"/>
    <w:next w:val="style45"/>
    <w:pPr>
      <w:outlineLvl w:val="1"/>
      <w:numPr>
        <w:ilvl w:val="1"/>
        <w:numId w:val="1"/>
      </w:numPr>
      <w:jc w:val="both"/>
      <w:suppressAutoHyphens w:val="true"/>
      <w:keepNext/>
    </w:pPr>
    <w:rPr>
      <w:color w:val="800000"/>
      <w:sz w:val="18"/>
      <w:i/>
      <w:b/>
      <w:szCs w:val="18"/>
      <w:iCs/>
      <w:bCs/>
      <w:rFonts w:ascii="Verdana" w:cs="Verdana" w:hAnsi="Verdana"/>
    </w:rPr>
  </w:style>
  <w:style w:styleId="style15" w:type="character">
    <w:name w:val="Default Paragraph Font"/>
    <w:next w:val="style15"/>
    <w:rPr/>
  </w:style>
  <w:style w:styleId="style16" w:type="character">
    <w:name w:val="Título 1 Car"/>
    <w:basedOn w:val="style15"/>
    <w:next w:val="style16"/>
    <w:rPr/>
  </w:style>
  <w:style w:styleId="style17" w:type="character">
    <w:name w:val="Título 2 Car"/>
    <w:basedOn w:val="style15"/>
    <w:next w:val="style17"/>
    <w:rPr/>
  </w:style>
  <w:style w:styleId="style18" w:type="character">
    <w:name w:val="Texto independiente Car"/>
    <w:basedOn w:val="style15"/>
    <w:next w:val="style18"/>
    <w:rPr/>
  </w:style>
  <w:style w:styleId="style19" w:type="character">
    <w:name w:val="Encabezado Car"/>
    <w:basedOn w:val="style15"/>
    <w:next w:val="style19"/>
    <w:rPr/>
  </w:style>
  <w:style w:styleId="style20" w:type="character">
    <w:name w:val="page number"/>
    <w:basedOn w:val="style15"/>
    <w:next w:val="style20"/>
    <w:rPr/>
  </w:style>
  <w:style w:styleId="style21" w:type="character">
    <w:name w:val="Pie de página Car"/>
    <w:basedOn w:val="style15"/>
    <w:next w:val="style21"/>
    <w:rPr/>
  </w:style>
  <w:style w:styleId="style22" w:type="character">
    <w:name w:val="Texto independiente 2 Car"/>
    <w:basedOn w:val="style15"/>
    <w:next w:val="style22"/>
    <w:rPr/>
  </w:style>
  <w:style w:styleId="style23" w:type="character">
    <w:name w:val="Vínculo Internet"/>
    <w:basedOn w:val="style15"/>
    <w:next w:val="style23"/>
    <w:rPr>
      <w:color w:val="0000FF"/>
      <w:u w:val="single"/>
      <w:lang w:bidi="es-ES" w:eastAsia="es-ES" w:val="es-ES"/>
    </w:rPr>
  </w:style>
  <w:style w:styleId="style24" w:type="character">
    <w:name w:val="Texto independiente 3 Car"/>
    <w:basedOn w:val="style15"/>
    <w:next w:val="style24"/>
    <w:rPr/>
  </w:style>
  <w:style w:styleId="style25" w:type="character">
    <w:name w:val="Texto de globo Car"/>
    <w:basedOn w:val="style15"/>
    <w:next w:val="style25"/>
    <w:rPr/>
  </w:style>
  <w:style w:styleId="style26" w:type="character">
    <w:name w:val="Destacado"/>
    <w:basedOn w:val="style15"/>
    <w:next w:val="style26"/>
    <w:rPr>
      <w:i/>
      <w:iCs/>
    </w:rPr>
  </w:style>
  <w:style w:styleId="style27" w:type="character">
    <w:name w:val="Muy destacado"/>
    <w:basedOn w:val="style15"/>
    <w:next w:val="style27"/>
    <w:rPr>
      <w:b/>
      <w:bCs/>
    </w:rPr>
  </w:style>
  <w:style w:styleId="style28" w:type="character">
    <w:name w:val="ListLabel 1"/>
    <w:next w:val="style28"/>
    <w:rPr/>
  </w:style>
  <w:style w:styleId="style29" w:type="character">
    <w:name w:val="ListLabel 2"/>
    <w:next w:val="style29"/>
    <w:rPr/>
  </w:style>
  <w:style w:styleId="style30" w:type="character">
    <w:name w:val="ListLabel 3"/>
    <w:next w:val="style30"/>
    <w:rPr/>
  </w:style>
  <w:style w:styleId="style31" w:type="character">
    <w:name w:val="ListLabel 4"/>
    <w:next w:val="style31"/>
    <w:rPr/>
  </w:style>
  <w:style w:styleId="style32" w:type="character">
    <w:name w:val="ListLabel 5"/>
    <w:next w:val="style32"/>
    <w:rPr/>
  </w:style>
  <w:style w:styleId="style33" w:type="character">
    <w:name w:val="ListLabel 6"/>
    <w:next w:val="style33"/>
    <w:rPr/>
  </w:style>
  <w:style w:styleId="style34" w:type="character">
    <w:name w:val="ListLabel 7"/>
    <w:next w:val="style34"/>
    <w:rPr/>
  </w:style>
  <w:style w:styleId="style35" w:type="character">
    <w:name w:val="ListLabel 8"/>
    <w:next w:val="style35"/>
    <w:rPr/>
  </w:style>
  <w:style w:styleId="style36" w:type="character">
    <w:name w:val="ListLabel 9"/>
    <w:next w:val="style36"/>
    <w:rPr/>
  </w:style>
  <w:style w:styleId="style37" w:type="character">
    <w:name w:val="ListLabel 10"/>
    <w:next w:val="style37"/>
    <w:rPr/>
  </w:style>
  <w:style w:styleId="style38" w:type="character">
    <w:name w:val="ListLabel 11"/>
    <w:next w:val="style38"/>
    <w:rPr/>
  </w:style>
  <w:style w:styleId="style39" w:type="character">
    <w:name w:val="ListLabel 12"/>
    <w:next w:val="style39"/>
    <w:rPr/>
  </w:style>
  <w:style w:styleId="style40" w:type="character">
    <w:name w:val="ListLabel 13"/>
    <w:next w:val="style40"/>
    <w:rPr>
      <w:rFonts w:cs="Symbol"/>
    </w:rPr>
  </w:style>
  <w:style w:styleId="style41" w:type="character">
    <w:name w:val="ListLabel 14"/>
    <w:next w:val="style41"/>
    <w:rPr>
      <w:rFonts w:cs="Arial"/>
    </w:rPr>
  </w:style>
  <w:style w:styleId="style42" w:type="character">
    <w:name w:val="ListLabel 15"/>
    <w:next w:val="style42"/>
    <w:rPr>
      <w:rFonts w:cs="Courier New"/>
    </w:rPr>
  </w:style>
  <w:style w:styleId="style43" w:type="character">
    <w:name w:val="ListLabel 16"/>
    <w:next w:val="style43"/>
    <w:rPr>
      <w:rFonts w:cs="Wingdings"/>
    </w:rPr>
  </w:style>
  <w:style w:styleId="style44" w:type="paragraph">
    <w:name w:val="Encabezado"/>
    <w:basedOn w:val="style0"/>
    <w:next w:val="style45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45" w:type="paragraph">
    <w:name w:val="Cuerpo de texto"/>
    <w:basedOn w:val="style0"/>
    <w:next w:val="style45"/>
    <w:pPr>
      <w:jc w:val="both"/>
      <w:spacing w:after="120" w:before="0"/>
    </w:pPr>
    <w:rPr>
      <w:sz w:val="22"/>
      <w:szCs w:val="22"/>
      <w:rFonts w:ascii="Arial" w:cs="Arial" w:hAnsi="Arial"/>
      <w:lang w:val="es-ES"/>
    </w:rPr>
  </w:style>
  <w:style w:styleId="style46" w:type="paragraph">
    <w:name w:val="Lista"/>
    <w:basedOn w:val="style45"/>
    <w:next w:val="style46"/>
    <w:pPr/>
    <w:rPr/>
  </w:style>
  <w:style w:styleId="style47" w:type="paragraph">
    <w:name w:val="Etiqueta"/>
    <w:basedOn w:val="style0"/>
    <w:next w:val="style47"/>
    <w:pPr>
      <w:suppressLineNumbers/>
      <w:spacing w:after="120" w:before="120"/>
    </w:pPr>
    <w:rPr>
      <w:sz w:val="24"/>
      <w:i/>
      <w:szCs w:val="24"/>
      <w:iCs/>
    </w:rPr>
  </w:style>
  <w:style w:styleId="style48" w:type="paragraph">
    <w:name w:val="Índice"/>
    <w:basedOn w:val="style0"/>
    <w:next w:val="style48"/>
    <w:pPr>
      <w:suppressLineNumbers/>
    </w:pPr>
    <w:rPr/>
  </w:style>
  <w:style w:styleId="style49" w:type="paragraph">
    <w:name w:val="Encabezamiento"/>
    <w:basedOn w:val="style0"/>
    <w:next w:val="style49"/>
    <w:pPr>
      <w:tabs>
        <w:tab w:leader="none" w:pos="4252" w:val="center"/>
        <w:tab w:leader="none" w:pos="8504" w:val="right"/>
      </w:tabs>
      <w:suppressLineNumbers/>
    </w:pPr>
    <w:rPr>
      <w:sz w:val="20"/>
      <w:szCs w:val="20"/>
      <w:lang w:val="es-ES"/>
    </w:rPr>
  </w:style>
  <w:style w:styleId="style50" w:type="paragraph">
    <w:name w:val="Pie de página"/>
    <w:basedOn w:val="style0"/>
    <w:next w:val="style50"/>
    <w:pPr>
      <w:tabs>
        <w:tab w:leader="none" w:pos="4419" w:val="center"/>
        <w:tab w:leader="none" w:pos="8838" w:val="right"/>
      </w:tabs>
      <w:suppressLineNumbers/>
    </w:pPr>
    <w:rPr>
      <w:sz w:val="20"/>
      <w:szCs w:val="20"/>
      <w:lang w:val="es-ES"/>
    </w:rPr>
  </w:style>
  <w:style w:styleId="style51" w:type="paragraph">
    <w:name w:val="Body Text 2"/>
    <w:basedOn w:val="style0"/>
    <w:next w:val="style51"/>
    <w:pPr/>
    <w:rPr/>
  </w:style>
  <w:style w:styleId="style52" w:type="paragraph">
    <w:name w:val="Body Text 3"/>
    <w:basedOn w:val="style0"/>
    <w:next w:val="style52"/>
    <w:pPr/>
    <w:rPr/>
  </w:style>
  <w:style w:styleId="style53" w:type="paragraph">
    <w:name w:val="Balloon Text"/>
    <w:basedOn w:val="style0"/>
    <w:next w:val="style53"/>
    <w:pPr/>
    <w:rPr/>
  </w:style>
  <w:style w:styleId="style54" w:type="paragraph">
    <w:name w:val="títulogrande"/>
    <w:basedOn w:val="style0"/>
    <w:next w:val="style5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campus-oei.org/administracion/saladelectura.htm" TargetMode="External"/><Relationship Id="rId4" Type="http://schemas.openxmlformats.org/officeDocument/2006/relationships/hyperlink" Target="http://www.campus-oei.org/administracion/saladelectura.htm" TargetMode="External"/><Relationship Id="rId5" Type="http://schemas.openxmlformats.org/officeDocument/2006/relationships/hyperlink" Target="http://didac.unizar.es/jlbernal/articulos_propios/index.html" TargetMode="External"/><Relationship Id="rId6" Type="http://schemas.openxmlformats.org/officeDocument/2006/relationships/hyperlink" Target="http://firgoa.usc.es/drupal/node/38483" TargetMode="External"/><Relationship Id="rId7" Type="http://schemas.openxmlformats.org/officeDocument/2006/relationships/hyperlink" Target="http://www.iipe-buenosaires.org.ar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2012-09-26T10:29:00.00Z</dcterms:created>
  <cp:lastModifiedBy>Luffi</cp:lastModifiedBy>
  <cp:lastPrinted>2012-12-04T14:04:37.00Z</cp:lastPrinted>
  <dcterms:modified xsi:type="dcterms:W3CDTF">2012-09-26T10:29:00.00Z</dcterms:modified>
  <cp:revision>2</cp:revision>
  <dc:title>UNIVERSIDAD DE BUENOS AIRES</dc:title>
</cp:coreProperties>
</file>